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03" w:rsidRPr="00A91878" w:rsidRDefault="00CC6203" w:rsidP="008B2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91878">
        <w:rPr>
          <w:rFonts w:ascii="Times New Roman" w:hAnsi="Times New Roman" w:cs="Times New Roman"/>
          <w:sz w:val="32"/>
          <w:szCs w:val="32"/>
        </w:rPr>
        <w:t>Отчет о дея</w:t>
      </w:r>
      <w:r w:rsidR="0057390D">
        <w:rPr>
          <w:rFonts w:ascii="Times New Roman" w:hAnsi="Times New Roman" w:cs="Times New Roman"/>
          <w:sz w:val="32"/>
          <w:szCs w:val="32"/>
        </w:rPr>
        <w:t>тельности ООО "Аналитик" за 2020</w:t>
      </w:r>
      <w:r w:rsidRPr="00A91878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D56B4" w:rsidRPr="008B236C" w:rsidRDefault="008B236C" w:rsidP="008B2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6C">
        <w:rPr>
          <w:rFonts w:ascii="Times New Roman" w:hAnsi="Times New Roman" w:cs="Times New Roman"/>
          <w:sz w:val="24"/>
          <w:szCs w:val="24"/>
        </w:rPr>
        <w:t xml:space="preserve">Информация, подлежащая раскрытию в соответствии с решением Совета по аудиторской деятельности от 19.06.2014 года и </w:t>
      </w:r>
      <w:r w:rsidR="00DC63B0" w:rsidRPr="00DC63B0">
        <w:rPr>
          <w:rFonts w:ascii="Times New Roman" w:hAnsi="Times New Roman" w:cs="Times New Roman"/>
          <w:sz w:val="24"/>
          <w:szCs w:val="24"/>
        </w:rPr>
        <w:t>Решением Правления СРО ААС от 20.02.2015 года (протокол №164)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Раскрываемая информация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Содержание раскрываемой информации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Распределение долей  уставн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го капитала между собственн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 xml:space="preserve">ками 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Аудиторы</w:t>
            </w:r>
            <w:r w:rsidR="00DC1AFE">
              <w:rPr>
                <w:rFonts w:ascii="Times New Roman" w:hAnsi="Times New Roman"/>
              </w:rPr>
              <w:t xml:space="preserve"> физические лица </w:t>
            </w:r>
            <w:r w:rsidRPr="00577187">
              <w:rPr>
                <w:rFonts w:ascii="Times New Roman" w:hAnsi="Times New Roman"/>
              </w:rPr>
              <w:t xml:space="preserve"> -100 %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Членство в </w:t>
            </w:r>
            <w:proofErr w:type="spellStart"/>
            <w:r w:rsidRPr="00577187">
              <w:rPr>
                <w:rFonts w:ascii="Times New Roman" w:hAnsi="Times New Roman"/>
              </w:rPr>
              <w:t>саморегулируемой</w:t>
            </w:r>
            <w:proofErr w:type="spellEnd"/>
            <w:r w:rsidRPr="00577187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6344" w:type="dxa"/>
            <w:shd w:val="clear" w:color="auto" w:fill="auto"/>
          </w:tcPr>
          <w:p w:rsidR="00DC63B0" w:rsidRPr="00DC63B0" w:rsidRDefault="00DC63B0" w:rsidP="00DC63B0">
            <w:pPr>
              <w:rPr>
                <w:bCs/>
                <w:iCs/>
              </w:rPr>
            </w:pPr>
            <w:r w:rsidRPr="00DC63B0">
              <w:rPr>
                <w:rFonts w:ascii="Times New Roman" w:hAnsi="Times New Roman"/>
              </w:rPr>
              <w:t xml:space="preserve">член </w:t>
            </w:r>
            <w:proofErr w:type="spellStart"/>
            <w:r w:rsidRPr="00DC63B0">
              <w:rPr>
                <w:rFonts w:ascii="Times New Roman" w:hAnsi="Times New Roman"/>
                <w:bCs/>
              </w:rPr>
              <w:t>Саморегулируемой</w:t>
            </w:r>
            <w:proofErr w:type="spellEnd"/>
            <w:r w:rsidRPr="00DC63B0">
              <w:rPr>
                <w:rFonts w:ascii="Times New Roman" w:hAnsi="Times New Roman"/>
                <w:bCs/>
              </w:rPr>
              <w:t xml:space="preserve"> организации аудиторов Ассоциация «Содружество»</w:t>
            </w:r>
            <w:r w:rsidR="00DC1AFE">
              <w:rPr>
                <w:rFonts w:ascii="Times New Roman" w:hAnsi="Times New Roman"/>
              </w:rPr>
              <w:t xml:space="preserve"> ОРНЗ 11606063624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Участие в сети аудиторских организаций, в том числе ме</w:t>
            </w:r>
            <w:r w:rsidRPr="00577187">
              <w:rPr>
                <w:rFonts w:ascii="Times New Roman" w:hAnsi="Times New Roman"/>
              </w:rPr>
              <w:t>ж</w:t>
            </w:r>
            <w:r w:rsidRPr="00577187">
              <w:rPr>
                <w:rFonts w:ascii="Times New Roman" w:hAnsi="Times New Roman"/>
              </w:rPr>
              <w:t>дународных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Не участвует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корпор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тивного управления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 xml:space="preserve">ской организации 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Органами управления Общества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являются: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собрание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Единоличный исполнительный орган -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директор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Компетенция все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вопросы качества осуществления </w:t>
            </w:r>
          </w:p>
          <w:p w:rsidR="00CC6203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аудиторских проверок, утверждение внутренних стандартов, положений;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оперативное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деятельностью Общ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внутреннего контроля качества аудиторской деятельности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 контроля качества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оздана для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услуг (заданий), обеспечивающую разумную уверенность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ООО "Аналитик"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ее специалисты проводят аудит в соответствии с требованиями законодател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и иных нормативных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правовых актов Российской Фед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рации,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федеральными правилами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(стандартами)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деятельности, внутренними правилами аудиторской деятел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действующими в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саморегулируемой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организации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диторов, членом которой </w:t>
            </w:r>
            <w:r w:rsidR="00DC6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является Аудитор, внутренними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правилами (стандартами) аудиторской деятельности, а также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заключения и иные отчеты, выданные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организацией, соответствуют условиям конкретных заданий.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Система контроля качества аудиторской организации вкл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чает принципы и процедуры, охватывающие следующие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пекты: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обязанности руководства аудиторской организации по обе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печению качества услуг, оказываемых аудиторской организ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цией;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этические требования;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-принятие на обслуживание нового клиента и продолжение сотрудничества;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кадровая работа;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выполнение задания;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мониторинг.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принципы и процедуры контроля качества услуг доводятся до сведения каждого сотрудника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накомления под подпись с положениями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федеральных и внутренних стандартов, инструкций, методик и положений 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сведения каждого специалиста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доводятся как сами при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ципы и процедуры контроля качества, так и суть целей, для достижения которых они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установлены, а также то, что ка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дый работник несет персональную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ответственность за кач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 и обязан соблюдать установленные принципы и проц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дуры.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Внутренними стандартами качества аудиторской деятельн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которые регулируют систему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качества в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низации, являются внутренние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положения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рифирменной системы 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«Контроль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заданий по аудиту»,Положение «Принципы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ления внешнего контроля качества работы аудиторских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низаций, индивидуальных аудиторов и требования к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 указанного контроля», «Обзорная проверка финанс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вой (бухгалтерской) отчетности», «Контроль качества услуг в аудиторской организации», «Правила осуществления 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реннего контроля качества работы».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зации; выявление и оценку угроз независимости, а также 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ределяют действия для устранения таких угроз или сведения их до приемлемого уровня.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на обслуживание нового клиента и продолжение сотрудничества определяется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анализом и оценкой информ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 о деятельности клиента и оценкой возможностей, пр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фессиональной компетентности, временных рамок и ресурсов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организации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одобрения вопросов сотрудн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чества.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Элементы кадровой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устанавливаются следующие: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найм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оценка результатов выполнения работы;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профессиональные навыки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г) профессиональная компетентность;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профессиональное развитие;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е) повышение в должности;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ж) оплата труда;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оценка нужд работников.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проведения аудита контрольные функции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ляют следующие должностные лица аудиторской компании: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оценки выводов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аудиторск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ой группы 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 работой всей гру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 в ходе аудита.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Внутренний контролер: над работой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всей группы, включая руководителя аудиторской группы. </w:t>
            </w:r>
          </w:p>
          <w:p w:rsidR="00DC63B0" w:rsidRDefault="00DC63B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выполнения заданий по аудиту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надзор за выполнением задания -осуществляется руководит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лем аудиторской проверки и включает: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наблюдение за ходом выполнения задания по аудиту;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2.оценку навыков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профессиональной компетентности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каждого участника аудиторской группы, наличия у него вр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мени,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достаточного для выполнения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задания по аудиту, 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нимания данных ему инструкций, а также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соответствия его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работы запланированному подходу;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3.решение значимых вопросов, возникающих в ходе 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задания по аудиту, оценку их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значимости и в случае необходимости соответствующее изменение запланированн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 подхода;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4.выявление вопросов, в отношении которых необходимо проведение дополнительных консультаций или рассмотрение более опытными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участниками аудиторской группы.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выполнения задания 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процесс, призва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ный до выдачи отчета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выполнения задания объективно оценить существенные суждения, принятые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диторской группой, и выводы, к которым она пришла при подготовке отчета.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Обзорные проверки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 выполнения задания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процесс,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призванный до выдачи аудиторского заключения объективно оценить значимые суждения и выводы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группы, сформированные 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завершенных заданий по аудиту процесс, пред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сматривающий непрерывный анализ и оценку системы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организации, включая период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ческую инспекцию на выборочной основе завершенных зад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по аудиту, осуществляемый с целью достижения разу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уверенности в том, что система контроля качества фун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ционирует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эффективно.</w:t>
            </w:r>
          </w:p>
          <w:p w:rsidR="00A91EF0" w:rsidRDefault="00A91EF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аудиторской организации заявляет об ответс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венности за разработку, внедрение, мониторинг и обеспеч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соблюдения на постоянной основе правил и процедур обеспечения качества предоставляемых аудиторских, сопу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ствующих аудиту и прочих связанных с аудиторской де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тельностью услуг, основанных на принципах независимости и профессиональной этики аудиторов.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Дата, по состоянию на которую проведена последняя по врем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>ни внешняя проверка качества работы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ции, и наименование органа (организации), проводившего данную проверку</w:t>
            </w:r>
          </w:p>
        </w:tc>
        <w:tc>
          <w:tcPr>
            <w:tcW w:w="6344" w:type="dxa"/>
            <w:shd w:val="clear" w:color="auto" w:fill="auto"/>
          </w:tcPr>
          <w:p w:rsidR="00CC6203" w:rsidRDefault="00590E2D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Свидетельство 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результатам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внешней проверки 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качества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боты 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аудиторской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организации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№ 658-19/12-246 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выдано на о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новании реше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ния Комиссии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контролю качества СРО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ААС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прото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кол №17-19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25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.201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г.).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 проведении проверки за 2016-2018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выявлены несущественные нарушения.</w:t>
            </w:r>
          </w:p>
          <w:p w:rsidR="00E659A1" w:rsidRDefault="00E659A1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59A1" w:rsidRPr="00E659A1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07.10.2019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г.–завершилась плановая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раб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ты 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,выполненная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Управлением Федеральн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казначейства по Хабаровскому краю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соответствии с 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659A1" w:rsidRPr="00577187" w:rsidRDefault="00E659A1" w:rsidP="00590E2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приказом </w:t>
            </w:r>
            <w:r w:rsidR="00590E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271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</w:t>
            </w:r>
            <w:r w:rsidR="00590E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90E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июля 2019 года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880EDF" w:rsidRPr="00577187" w:rsidTr="00840830">
        <w:tc>
          <w:tcPr>
            <w:tcW w:w="3227" w:type="dxa"/>
            <w:shd w:val="clear" w:color="auto" w:fill="auto"/>
          </w:tcPr>
          <w:p w:rsidR="00880EDF" w:rsidRPr="00577187" w:rsidRDefault="00880EDF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всех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ций, предусмотренных частью 3 статьи 5 Федерального закона "Об аудиторской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сти", в отношении бухгалте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(финансовой) отчетности которых аудиторской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зацией в прошедшем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ном году  был проведен обяз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тельный аудит</w:t>
            </w:r>
          </w:p>
        </w:tc>
        <w:tc>
          <w:tcPr>
            <w:tcW w:w="6344" w:type="dxa"/>
            <w:shd w:val="clear" w:color="auto" w:fill="auto"/>
          </w:tcPr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ОАО "Морской порт Тикси" 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ИНН  1406004336 ОГРН 1051403915771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 АО Акционерная компания "Железные дороги Якутии" ИНН1435073060  ОГРН 1021401044500</w:t>
            </w: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C1AFE" w:rsidRPr="00577187" w:rsidRDefault="00DC1AFE" w:rsidP="0057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lastRenderedPageBreak/>
              <w:t>ции о мерах, принимаемых а</w:t>
            </w:r>
            <w:r w:rsidRPr="00577187">
              <w:rPr>
                <w:rFonts w:ascii="Times New Roman" w:hAnsi="Times New Roman"/>
              </w:rPr>
              <w:t>у</w:t>
            </w:r>
            <w:r w:rsidRPr="00577187">
              <w:rPr>
                <w:rFonts w:ascii="Times New Roman" w:hAnsi="Times New Roman"/>
              </w:rPr>
              <w:t>диторской организацией для обеспечения своей независим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сти, включая подтверждение факта проведения внутренней проверки соблюдения незав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симости</w:t>
            </w:r>
          </w:p>
        </w:tc>
        <w:tc>
          <w:tcPr>
            <w:tcW w:w="6344" w:type="dxa"/>
            <w:shd w:val="clear" w:color="auto" w:fill="auto"/>
          </w:tcPr>
          <w:p w:rsidR="00CC6203" w:rsidRPr="00115F50" w:rsidRDefault="00115F50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Исполнительный орган</w:t>
            </w:r>
            <w:r w:rsidRPr="00115F50">
              <w:rPr>
                <w:rFonts w:ascii="Times New Roman" w:hAnsi="Times New Roman"/>
              </w:rPr>
              <w:t xml:space="preserve"> ООО "Аналитик"</w:t>
            </w:r>
            <w:r w:rsidR="00CC6203" w:rsidRPr="00115F50">
              <w:rPr>
                <w:rFonts w:ascii="Times New Roman" w:hAnsi="Times New Roman"/>
              </w:rPr>
              <w:t xml:space="preserve"> подтверждает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что меры, принимаемые аудиторской организаций для обесп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е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lastRenderedPageBreak/>
              <w:t>чения своей независимости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основанные</w:t>
            </w:r>
            <w:r w:rsidR="00CC6203" w:rsidRPr="00115F5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CC6203" w:rsidRPr="00115F50">
              <w:rPr>
                <w:rFonts w:ascii="Times New Roman" w:hAnsi="Times New Roman"/>
              </w:rPr>
              <w:t>на применении Кодекса профессиональной этики аудиторов и Правил независимости аудиторов и аудиторских организаций</w:t>
            </w:r>
            <w:r w:rsidRPr="00115F50">
              <w:rPr>
                <w:rFonts w:ascii="Times New Roman" w:hAnsi="Times New Roman"/>
              </w:rPr>
              <w:t>,</w:t>
            </w:r>
            <w:r w:rsidR="00CC6203" w:rsidRPr="00115F50">
              <w:rPr>
                <w:rFonts w:ascii="Times New Roman" w:hAnsi="Times New Roman"/>
              </w:rPr>
              <w:t xml:space="preserve"> обеспечивают: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личную независимость сотрудников;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обучение сотрудников по вопросам независимости и по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 xml:space="preserve">тверждение независимости; 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выявление угроз нарушения независимости, меры, пре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>принятые или предполагаемые аудиторской организацией для снижения или профилактики риска дальнейших нарушений.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  <w:r w:rsidRPr="00115F50">
              <w:rPr>
                <w:rFonts w:ascii="Times New Roman" w:hAnsi="Times New Roman"/>
                <w:bCs/>
              </w:rPr>
              <w:t>Внутренние проверки</w:t>
            </w:r>
            <w:r w:rsidRPr="00115F50">
              <w:rPr>
                <w:rFonts w:ascii="Times New Roman" w:hAnsi="Times New Roman"/>
              </w:rPr>
              <w:t> соблюдения условий независимости аудиторов и аудиторской организации, документирование р</w:t>
            </w:r>
            <w:r w:rsidRPr="00115F50">
              <w:rPr>
                <w:rFonts w:ascii="Times New Roman" w:hAnsi="Times New Roman"/>
              </w:rPr>
              <w:t>е</w:t>
            </w:r>
            <w:r w:rsidRPr="00115F50">
              <w:rPr>
                <w:rFonts w:ascii="Times New Roman" w:hAnsi="Times New Roman"/>
              </w:rPr>
              <w:t>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(инспекции) завершенных аудиторских заданий.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 об исполнении аудиторами аудиторской организации тр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 xml:space="preserve">бования о ежегодном обучении по программам повышения квалификации, установленного </w:t>
            </w:r>
            <w:hyperlink r:id="rId6" w:history="1">
              <w:r w:rsidRPr="00DC63B0">
                <w:rPr>
                  <w:rFonts w:ascii="Times New Roman" w:hAnsi="Times New Roman"/>
                </w:rPr>
                <w:t>частью 9 статьи 11</w:t>
              </w:r>
            </w:hyperlink>
            <w:r w:rsidRPr="00577187">
              <w:rPr>
                <w:rFonts w:ascii="Times New Roman" w:hAnsi="Times New Roman"/>
              </w:rPr>
              <w:t xml:space="preserve"> Федерал</w:t>
            </w:r>
            <w:r w:rsidRPr="00577187">
              <w:rPr>
                <w:rFonts w:ascii="Times New Roman" w:hAnsi="Times New Roman"/>
              </w:rPr>
              <w:t>ь</w:t>
            </w:r>
            <w:r w:rsidRPr="00577187">
              <w:rPr>
                <w:rFonts w:ascii="Times New Roman" w:hAnsi="Times New Roman"/>
              </w:rPr>
              <w:t>ного закона "Об аудиторской деятельности"</w:t>
            </w: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1878">
              <w:rPr>
                <w:rFonts w:ascii="Times New Roman" w:hAnsi="Times New Roman"/>
              </w:rPr>
              <w:t xml:space="preserve">Исполнительный орган </w:t>
            </w:r>
            <w:r w:rsidR="00A91878" w:rsidRPr="00A91878">
              <w:rPr>
                <w:rFonts w:ascii="Times New Roman" w:hAnsi="Times New Roman"/>
              </w:rPr>
              <w:t>ООО "Аналитик"</w:t>
            </w:r>
            <w:r w:rsidRPr="00A91878">
              <w:rPr>
                <w:rFonts w:ascii="Times New Roman" w:hAnsi="Times New Roman"/>
              </w:rPr>
              <w:t xml:space="preserve"> подтверждает, что а</w:t>
            </w:r>
            <w:r w:rsidRPr="00A91878">
              <w:rPr>
                <w:rFonts w:ascii="Times New Roman" w:hAnsi="Times New Roman"/>
              </w:rPr>
              <w:t>у</w:t>
            </w:r>
            <w:r w:rsidRPr="00A91878">
              <w:rPr>
                <w:rFonts w:ascii="Times New Roman" w:hAnsi="Times New Roman"/>
              </w:rPr>
              <w:t>диторы организации проходят ежегодное обучение по програ</w:t>
            </w:r>
            <w:r w:rsidRPr="00A91878">
              <w:rPr>
                <w:rFonts w:ascii="Times New Roman" w:hAnsi="Times New Roman"/>
              </w:rPr>
              <w:t>м</w:t>
            </w:r>
            <w:r w:rsidRPr="00A91878">
              <w:rPr>
                <w:rFonts w:ascii="Times New Roman" w:hAnsi="Times New Roman"/>
              </w:rPr>
              <w:t xml:space="preserve">мам повышения квалификации, утверждаемым </w:t>
            </w:r>
            <w:proofErr w:type="spellStart"/>
            <w:r w:rsidRPr="00A91878">
              <w:rPr>
                <w:rFonts w:ascii="Times New Roman" w:hAnsi="Times New Roman"/>
              </w:rPr>
              <w:t>саморегулиру</w:t>
            </w:r>
            <w:r w:rsidRPr="00A91878">
              <w:rPr>
                <w:rFonts w:ascii="Times New Roman" w:hAnsi="Times New Roman"/>
              </w:rPr>
              <w:t>е</w:t>
            </w:r>
            <w:r w:rsidRPr="00A91878">
              <w:rPr>
                <w:rFonts w:ascii="Times New Roman" w:hAnsi="Times New Roman"/>
              </w:rPr>
              <w:t>мой</w:t>
            </w:r>
            <w:proofErr w:type="spellEnd"/>
            <w:r w:rsidRPr="00A91878">
              <w:rPr>
                <w:rFonts w:ascii="Times New Roman" w:hAnsi="Times New Roman"/>
              </w:rPr>
              <w:t xml:space="preserve"> организацией аудиторов, членом которой он является. М</w:t>
            </w:r>
            <w:r w:rsidRPr="00A91878">
              <w:rPr>
                <w:rFonts w:ascii="Times New Roman" w:hAnsi="Times New Roman"/>
              </w:rPr>
              <w:t>и</w:t>
            </w:r>
            <w:r w:rsidRPr="00A91878">
              <w:rPr>
                <w:rFonts w:ascii="Times New Roman" w:hAnsi="Times New Roman"/>
              </w:rPr>
              <w:t>нимальная продолжительность такого обучения составляет не менее 120 часов за три последовательных календарных года, и не менее 20 часов в каждый год.</w:t>
            </w:r>
          </w:p>
          <w:p w:rsidR="00CC6203" w:rsidRPr="00476771" w:rsidRDefault="00CC6203" w:rsidP="00840830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Сведения о принятой в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организации системе вознаграждения руководителей аудиторских групп (в том числе основные факторы, оказыва</w:t>
            </w:r>
            <w:r w:rsidRPr="00577187">
              <w:rPr>
                <w:rFonts w:ascii="Times New Roman" w:hAnsi="Times New Roman"/>
              </w:rPr>
              <w:t>ю</w:t>
            </w:r>
            <w:r w:rsidRPr="00577187">
              <w:rPr>
                <w:rFonts w:ascii="Times New Roman" w:hAnsi="Times New Roman"/>
              </w:rPr>
              <w:t>щие влияние на размер возн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граждения)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A91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1878">
              <w:rPr>
                <w:rFonts w:ascii="Times New Roman" w:eastAsia="Calibri" w:hAnsi="Times New Roman" w:cs="Times New Roman"/>
              </w:rPr>
              <w:t>Принятая система оплаты труда работников включает должн</w:t>
            </w:r>
            <w:r w:rsidRPr="00A91878">
              <w:rPr>
                <w:rFonts w:ascii="Times New Roman" w:eastAsia="Calibri" w:hAnsi="Times New Roman" w:cs="Times New Roman"/>
              </w:rPr>
              <w:t>о</w:t>
            </w:r>
            <w:r w:rsidRPr="00A91878">
              <w:rPr>
                <w:rFonts w:ascii="Times New Roman" w:eastAsia="Calibri" w:hAnsi="Times New Roman" w:cs="Times New Roman"/>
              </w:rPr>
              <w:t xml:space="preserve">стные оклады и ежемесячные премии за качество выполнения должностных и функциональных обязанностей. Особая система вознаграждения в отношении руководителей аудиторских групп не применяется. 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принимаемых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организацией мер по обеспечению ротации старшего персонала в составе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>ской группы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 xml:space="preserve">В соответствии с </w:t>
            </w:r>
            <w:r w:rsidR="00DC1AFE">
              <w:rPr>
                <w:rFonts w:ascii="Times New Roman" w:hAnsi="Times New Roman"/>
                <w:shd w:val="clear" w:color="auto" w:fill="FFFFFF"/>
              </w:rPr>
              <w:t>МСА 220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"Контроль качества </w:t>
            </w:r>
            <w:r w:rsidR="00DC1AFE">
              <w:rPr>
                <w:rFonts w:ascii="Times New Roman" w:hAnsi="Times New Roman"/>
                <w:shd w:val="clear" w:color="auto" w:fill="FFFFFF"/>
              </w:rPr>
              <w:t>при пров</w:t>
            </w:r>
            <w:r w:rsidR="00DC1AFE">
              <w:rPr>
                <w:rFonts w:ascii="Times New Roman" w:hAnsi="Times New Roman"/>
                <w:shd w:val="clear" w:color="auto" w:fill="FFFFFF"/>
              </w:rPr>
              <w:t>е</w:t>
            </w:r>
            <w:r w:rsidR="00DC1AFE">
              <w:rPr>
                <w:rFonts w:ascii="Times New Roman" w:hAnsi="Times New Roman"/>
                <w:shd w:val="clear" w:color="auto" w:fill="FFFFFF"/>
              </w:rPr>
              <w:t>дении аудита финансовой отчетности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" в </w:t>
            </w:r>
            <w:r w:rsidR="00DC1AFE">
              <w:rPr>
                <w:rFonts w:ascii="Times New Roman" w:hAnsi="Times New Roman"/>
                <w:shd w:val="clear" w:color="auto" w:fill="FFFFFF"/>
              </w:rPr>
              <w:t>ООО "Аналит</w:t>
            </w:r>
            <w:r w:rsidR="00A91878">
              <w:rPr>
                <w:rFonts w:ascii="Times New Roman" w:hAnsi="Times New Roman"/>
                <w:shd w:val="clear" w:color="auto" w:fill="FFFFFF"/>
              </w:rPr>
              <w:t>ик"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ра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з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работаны принципы и процедуры, обеспечивающие периодич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е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скую (не реже одного раза в семь лет) ротацию работников, осуществляющих руководство аудитом бухгалтерской отчетн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сти одного и того же общественно значимого хозяйствующего субъекта на разных уровнях.</w:t>
            </w:r>
          </w:p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>Меры по обеспечению ротации старшего персонала в с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ставе аудиторской группы основаны на периодической замене руководителей аудиторских заданий согласно плану ротации руководителей заданий, осуществляющих руководство аудито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ской проверкой одного и того же общественно значимого хозя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й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ствующего субъекта на разных уровнях.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577187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о выручке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организации за прошлый отчетный год, в том числе о суммах, полученных от: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7390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4783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обязательного аудита бухгалтерской (фина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совой) отчетности, в том числе консолидированной: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7390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2498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организаций, предусмотре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 частью 3 статьи 5 Фед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закона «Об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деятельности», и орган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входящих в группы,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ходящиеся под их контролем;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7390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798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 прочих организаций;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7390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1700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предоставления услуг,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выполнением отли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от аудита бухгалтерской (финансовой) отчетности орг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заданий, обеспеч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уверенность, консул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тационных услуг в области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логообложения и прочих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аудиторской деятел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услуг: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7390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2200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аудируемым лицам;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7390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50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прочим организациям.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7390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2150</w:t>
            </w:r>
            <w:r w:rsidR="00590E2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91878">
              <w:rPr>
                <w:rFonts w:ascii="Times New Roman" w:hAnsi="Times New Roman"/>
                <w:shd w:val="clear" w:color="auto" w:fill="FFFFFF"/>
              </w:rPr>
              <w:t>т.р.</w:t>
            </w:r>
          </w:p>
        </w:tc>
      </w:tr>
    </w:tbl>
    <w:p w:rsidR="00CC6203" w:rsidRPr="000817E6" w:rsidRDefault="00CC6203" w:rsidP="00CC6203"/>
    <w:p w:rsidR="008B236C" w:rsidRPr="008B236C" w:rsidRDefault="008B236C" w:rsidP="008B23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B236C" w:rsidRPr="008B236C" w:rsidSect="003D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BB6"/>
    <w:multiLevelType w:val="hybridMultilevel"/>
    <w:tmpl w:val="6B3C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6E3"/>
    <w:multiLevelType w:val="multilevel"/>
    <w:tmpl w:val="786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3915"/>
    <w:multiLevelType w:val="hybridMultilevel"/>
    <w:tmpl w:val="4988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/>
  <w:rsids>
    <w:rsidRoot w:val="008B236C"/>
    <w:rsid w:val="00060881"/>
    <w:rsid w:val="0008650D"/>
    <w:rsid w:val="00115F50"/>
    <w:rsid w:val="001E73F1"/>
    <w:rsid w:val="002B4481"/>
    <w:rsid w:val="003050EE"/>
    <w:rsid w:val="0034250C"/>
    <w:rsid w:val="003458FC"/>
    <w:rsid w:val="003D56B4"/>
    <w:rsid w:val="00476771"/>
    <w:rsid w:val="00496C3F"/>
    <w:rsid w:val="0057390D"/>
    <w:rsid w:val="00590E2D"/>
    <w:rsid w:val="005B4131"/>
    <w:rsid w:val="00603549"/>
    <w:rsid w:val="007007FC"/>
    <w:rsid w:val="00880EDF"/>
    <w:rsid w:val="008B236C"/>
    <w:rsid w:val="008C59CE"/>
    <w:rsid w:val="00A84573"/>
    <w:rsid w:val="00A91878"/>
    <w:rsid w:val="00A91EF0"/>
    <w:rsid w:val="00AC0A37"/>
    <w:rsid w:val="00B62518"/>
    <w:rsid w:val="00B66E0E"/>
    <w:rsid w:val="00CC6203"/>
    <w:rsid w:val="00CF1D9E"/>
    <w:rsid w:val="00D9283F"/>
    <w:rsid w:val="00D95B1F"/>
    <w:rsid w:val="00DC1AFE"/>
    <w:rsid w:val="00DC63B0"/>
    <w:rsid w:val="00E659A1"/>
    <w:rsid w:val="00F2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0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C6203"/>
    <w:rPr>
      <w:b/>
      <w:bCs/>
    </w:rPr>
  </w:style>
  <w:style w:type="character" w:customStyle="1" w:styleId="apple-converted-space">
    <w:name w:val="apple-converted-space"/>
    <w:basedOn w:val="a0"/>
    <w:rsid w:val="00CC6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1E4F5E0FABDB9BBA22FDC1DAB7DDF4105B6F30C43D8ABFBD314F2FE223114C851EE84A2DB9DF1n3x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A9FB-9944-407C-8979-14DA664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2021-02-19T03:02:00Z</dcterms:created>
  <dcterms:modified xsi:type="dcterms:W3CDTF">2021-02-19T03:04:00Z</dcterms:modified>
</cp:coreProperties>
</file>